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28" w:rsidRPr="00CE599A" w:rsidRDefault="00596728" w:rsidP="00596728">
      <w:pPr>
        <w:spacing w:before="43"/>
        <w:rPr>
          <w:sz w:val="24"/>
          <w:szCs w:val="24"/>
        </w:rPr>
      </w:pPr>
    </w:p>
    <w:p w:rsidR="00ED3144" w:rsidRPr="002C0EBE" w:rsidRDefault="00ED3144" w:rsidP="00ED3144">
      <w:pPr>
        <w:pStyle w:val="Default"/>
        <w:spacing w:line="360" w:lineRule="auto"/>
        <w:jc w:val="both"/>
      </w:pPr>
      <w:proofErr w:type="gramStart"/>
      <w:r w:rsidRPr="002C0EBE">
        <w:rPr>
          <w:b/>
          <w:bCs/>
        </w:rPr>
        <w:t xml:space="preserve">1. AMAÇ: </w:t>
      </w:r>
      <w:r w:rsidRPr="002C0EBE">
        <w:t xml:space="preserve">Sağlık tesisimizde kullanılan bölünebilir doz ilaçların verimli bir şekilde kullanılması, </w:t>
      </w:r>
      <w:proofErr w:type="spellStart"/>
      <w:r w:rsidRPr="002C0EBE">
        <w:t>stabilitesine</w:t>
      </w:r>
      <w:proofErr w:type="spellEnd"/>
      <w:r w:rsidRPr="002C0EBE">
        <w:t xml:space="preserve"> uygun olarak aseptik koşullarda saklanması, ilaç israfının önlenmesi, çoklu doz kullanılan ilaçların en küçük birim doz bazında faturalandırılması, maliyetlerin azaltılması, hastalara kullanılan dozun fatura edilmesi, kullanılmayan ilaç dozlarının uygun koşullarda imhasının yapılarak çevre kirliliği açısından risklerin ortadan kaldırılmasını ve yarım kalan dozların imhası sonucu oluşan mali kaybın analiz edilmesini amaçlar. </w:t>
      </w:r>
      <w:proofErr w:type="gramEnd"/>
    </w:p>
    <w:p w:rsidR="00ED3144" w:rsidRPr="002C0EBE" w:rsidRDefault="00ED3144" w:rsidP="00ED3144">
      <w:pPr>
        <w:pStyle w:val="Default"/>
        <w:jc w:val="both"/>
      </w:pPr>
    </w:p>
    <w:p w:rsidR="00ED3144" w:rsidRPr="002C0EBE" w:rsidRDefault="00ED3144" w:rsidP="00ED3144">
      <w:pPr>
        <w:pStyle w:val="Default"/>
        <w:spacing w:line="360" w:lineRule="auto"/>
        <w:jc w:val="both"/>
      </w:pPr>
      <w:r w:rsidRPr="002C0EBE">
        <w:rPr>
          <w:b/>
          <w:bCs/>
        </w:rPr>
        <w:t>2. KAPSAM</w:t>
      </w:r>
      <w:r w:rsidRPr="002C0EBE">
        <w:t xml:space="preserve">: Bu talimat </w:t>
      </w:r>
      <w:r w:rsidR="00E360C0">
        <w:t>Sakarya</w:t>
      </w:r>
      <w:bookmarkStart w:id="0" w:name="_GoBack"/>
      <w:bookmarkEnd w:id="0"/>
      <w:r w:rsidRPr="002C0EBE">
        <w:t xml:space="preserve"> Ağız ve Diş Sağlığı Merkezi acil, poliklinik ve eczanede bulunan kısmi doz ilaçların yönetimini kapsar. </w:t>
      </w:r>
    </w:p>
    <w:p w:rsidR="00ED3144" w:rsidRPr="002C0EBE" w:rsidRDefault="00ED3144" w:rsidP="00ED3144">
      <w:pPr>
        <w:pStyle w:val="Default"/>
        <w:spacing w:line="360" w:lineRule="auto"/>
        <w:jc w:val="both"/>
      </w:pPr>
    </w:p>
    <w:p w:rsidR="00ED3144" w:rsidRPr="002C0EBE" w:rsidRDefault="00ED3144" w:rsidP="00ED3144">
      <w:pPr>
        <w:pStyle w:val="Default"/>
        <w:spacing w:after="162"/>
        <w:jc w:val="both"/>
      </w:pPr>
      <w:r w:rsidRPr="002C0EBE">
        <w:rPr>
          <w:b/>
          <w:bCs/>
        </w:rPr>
        <w:t xml:space="preserve">3. SORUMLU </w:t>
      </w:r>
    </w:p>
    <w:p w:rsidR="00ED3144" w:rsidRPr="002C0EBE" w:rsidRDefault="00ED3144" w:rsidP="00ED3144">
      <w:pPr>
        <w:pStyle w:val="Default"/>
        <w:numPr>
          <w:ilvl w:val="0"/>
          <w:numId w:val="1"/>
        </w:numPr>
        <w:spacing w:after="162"/>
        <w:jc w:val="both"/>
      </w:pPr>
      <w:r w:rsidRPr="002C0EBE">
        <w:t xml:space="preserve">Kurum Yönetimi </w:t>
      </w:r>
    </w:p>
    <w:p w:rsidR="00ED3144" w:rsidRPr="002C0EBE" w:rsidRDefault="00ED3144" w:rsidP="00ED3144">
      <w:pPr>
        <w:pStyle w:val="Default"/>
        <w:numPr>
          <w:ilvl w:val="0"/>
          <w:numId w:val="1"/>
        </w:numPr>
        <w:spacing w:after="162"/>
        <w:jc w:val="both"/>
      </w:pPr>
      <w:r w:rsidRPr="002C0EBE">
        <w:t xml:space="preserve">Eczane personeli </w:t>
      </w:r>
    </w:p>
    <w:p w:rsidR="00ED3144" w:rsidRPr="002C0EBE" w:rsidRDefault="00ED3144" w:rsidP="00ED3144">
      <w:pPr>
        <w:pStyle w:val="Default"/>
        <w:numPr>
          <w:ilvl w:val="0"/>
          <w:numId w:val="1"/>
        </w:numPr>
        <w:spacing w:after="162"/>
        <w:jc w:val="both"/>
      </w:pPr>
      <w:r w:rsidRPr="002C0EBE">
        <w:t xml:space="preserve">Sağlık Bakım Hizmetleri Müdürü </w:t>
      </w:r>
    </w:p>
    <w:p w:rsidR="00ED3144" w:rsidRPr="002C0EBE" w:rsidRDefault="00ED3144" w:rsidP="00ED3144">
      <w:pPr>
        <w:pStyle w:val="Default"/>
        <w:numPr>
          <w:ilvl w:val="0"/>
          <w:numId w:val="1"/>
        </w:numPr>
        <w:spacing w:after="162"/>
        <w:jc w:val="both"/>
      </w:pPr>
      <w:r w:rsidRPr="002C0EBE">
        <w:t xml:space="preserve">Hekim ve tüm yardımcı sağlık personelleri (hemşire.) </w:t>
      </w:r>
    </w:p>
    <w:p w:rsidR="00ED3144" w:rsidRDefault="00ED3144" w:rsidP="00ED3144">
      <w:pPr>
        <w:pStyle w:val="Default"/>
        <w:jc w:val="both"/>
        <w:rPr>
          <w:b/>
          <w:bCs/>
        </w:rPr>
      </w:pPr>
    </w:p>
    <w:p w:rsidR="00ED3144" w:rsidRPr="002C0EBE" w:rsidRDefault="00ED3144" w:rsidP="00ED3144">
      <w:pPr>
        <w:pStyle w:val="Default"/>
        <w:jc w:val="both"/>
      </w:pPr>
      <w:r w:rsidRPr="002C0EBE">
        <w:rPr>
          <w:b/>
          <w:bCs/>
        </w:rPr>
        <w:t xml:space="preserve">4. FAALİYET AKIŞI </w:t>
      </w:r>
    </w:p>
    <w:p w:rsidR="00ED3144" w:rsidRPr="002C0EBE" w:rsidRDefault="00ED3144" w:rsidP="00ED3144">
      <w:pPr>
        <w:pStyle w:val="Default"/>
        <w:spacing w:line="360" w:lineRule="auto"/>
        <w:jc w:val="both"/>
        <w:rPr>
          <w:b/>
          <w:u w:val="single"/>
        </w:rPr>
      </w:pPr>
      <w:r w:rsidRPr="002C0EBE">
        <w:rPr>
          <w:b/>
          <w:i/>
          <w:iCs/>
          <w:u w:val="single"/>
        </w:rPr>
        <w:t xml:space="preserve">4.1 Sağlık tesisi eczanesinde aseptik ilaç hazırlamaya uygun sistemler bulunmuyorsa; </w:t>
      </w:r>
    </w:p>
    <w:p w:rsidR="00ED3144" w:rsidRPr="002C0EBE" w:rsidRDefault="00ED3144" w:rsidP="00ED3144">
      <w:pPr>
        <w:pStyle w:val="Default"/>
        <w:spacing w:line="360" w:lineRule="auto"/>
        <w:jc w:val="both"/>
      </w:pPr>
      <w:proofErr w:type="gramStart"/>
      <w:r w:rsidRPr="002C0EBE">
        <w:t>4.1.1. Tüm servis ve kliniklerde miadı dolan, saklama koşulları açısından sulandırıldıktan, açıldıktan ya da hazırladıktan sonra etki ve özellikleri bakımından tedavide kullanılması uygun olmayan ya da saklama süresi dolan yarım doz ilaçlar, servis hemşiresi ve hekim tarafından “</w:t>
      </w:r>
      <w:r w:rsidRPr="002C0EBE">
        <w:rPr>
          <w:b/>
          <w:bCs/>
        </w:rPr>
        <w:t xml:space="preserve">Sağlık Tesisleri İçin Yarım Doz İlaç İmha Bildirim </w:t>
      </w:r>
      <w:proofErr w:type="spellStart"/>
      <w:r w:rsidRPr="002C0EBE">
        <w:rPr>
          <w:b/>
          <w:bCs/>
        </w:rPr>
        <w:t>Formu'</w:t>
      </w:r>
      <w:r w:rsidRPr="002C0EBE">
        <w:t>na</w:t>
      </w:r>
      <w:proofErr w:type="spellEnd"/>
      <w:r w:rsidRPr="002C0EBE">
        <w:t xml:space="preserve">" tam olarak işlenir. </w:t>
      </w:r>
      <w:proofErr w:type="gramEnd"/>
      <w:r w:rsidRPr="002C0EBE">
        <w:t xml:space="preserve">Yarım kalan doz için İlaç ve Tıbbi Sarf Malzeme İmha Talimatına göre gerekli imha işlemleri uygulanır. Narkotik ve </w:t>
      </w:r>
      <w:proofErr w:type="spellStart"/>
      <w:r w:rsidRPr="002C0EBE">
        <w:t>psikotrop</w:t>
      </w:r>
      <w:proofErr w:type="spellEnd"/>
      <w:r w:rsidRPr="002C0EBE">
        <w:t xml:space="preserve"> ilaçların yarım kalan dozlarının imhası sırasında serviste; servis sorumlu hemşiresi, hekimi ve sağlık bakım hizmetleri müdürünün imzasının bulunduğu ‘Narkotik ve </w:t>
      </w:r>
      <w:proofErr w:type="spellStart"/>
      <w:r w:rsidRPr="002C0EBE">
        <w:t>Psikotrop</w:t>
      </w:r>
      <w:proofErr w:type="spellEnd"/>
      <w:r w:rsidRPr="002C0EBE">
        <w:t xml:space="preserve"> İlaçların İmha Tutanağı’ imzalanır; bir nüshası servis sorumlu hemşiresince dosyalanır, bir nüshası da sorumlu eczacıyı bilgilendirmek amacıyla eczaneye teslim edilir. ( Narkotik ve </w:t>
      </w:r>
      <w:proofErr w:type="spellStart"/>
      <w:r w:rsidRPr="002C0EBE">
        <w:t>psikotrop</w:t>
      </w:r>
      <w:proofErr w:type="spellEnd"/>
      <w:r w:rsidRPr="002C0EBE">
        <w:t xml:space="preserve"> ilaçlar için ayrı bir yarım doz imha bildirim formu doldurulmayacaktır. ) </w:t>
      </w:r>
    </w:p>
    <w:p w:rsidR="00ED3144" w:rsidRPr="002C0EBE" w:rsidRDefault="00ED3144" w:rsidP="00ED3144">
      <w:pPr>
        <w:pStyle w:val="Default"/>
        <w:spacing w:line="360" w:lineRule="auto"/>
        <w:jc w:val="both"/>
      </w:pPr>
      <w:r w:rsidRPr="002C0EBE">
        <w:t>4.1.2. İki nüsha olarak doldurulmuş olan “</w:t>
      </w:r>
      <w:r w:rsidRPr="002C0EBE">
        <w:rPr>
          <w:b/>
          <w:bCs/>
        </w:rPr>
        <w:t xml:space="preserve">Sağlık Tesisleri İçin Yarım Doz İlaç İmha Bildirim Formu” </w:t>
      </w:r>
      <w:r w:rsidRPr="002C0EBE">
        <w:t>sorumlu hemşire ve hekim onayıyla eczaneye teslim edilir. Eczacı/Eczane sorumlusu evrakı aldığına dair imza attıktan sonra bir nüshası ilgili servise geri gönderilir. (Yarım doz ilaçlar kesinlikle eczaneye gönderilmeyecektir. Eczacı Yarım Doz İlaç Bildirim Formunu yalnızca evrakı teslim aldığına dair imzalayacaktır.)</w:t>
      </w:r>
    </w:p>
    <w:p w:rsidR="00ED3144" w:rsidRPr="002C0EBE" w:rsidRDefault="00ED3144" w:rsidP="00ED3144">
      <w:pPr>
        <w:pStyle w:val="Default"/>
        <w:spacing w:line="360" w:lineRule="auto"/>
        <w:jc w:val="both"/>
      </w:pPr>
      <w:r w:rsidRPr="002C0EBE">
        <w:t>4.1.3. Günlük olarak doldurulan “</w:t>
      </w:r>
      <w:r w:rsidRPr="002C0EBE">
        <w:rPr>
          <w:b/>
          <w:bCs/>
        </w:rPr>
        <w:t xml:space="preserve">Sağlık Tesisi Yarım Doz İlaç İmha Formu” </w:t>
      </w:r>
      <w:r w:rsidRPr="002C0EBE">
        <w:t xml:space="preserve">haftalık olarak eczaneye gönderilir. Eczacı her ayın ilk haftası bir önceki ayın yarım doz imhalarını </w:t>
      </w:r>
      <w:r w:rsidRPr="002C0EBE">
        <w:rPr>
          <w:b/>
          <w:bCs/>
        </w:rPr>
        <w:t xml:space="preserve">" Genel Sekreterlikler Yarım Doz İlaç İmha Bildirim </w:t>
      </w:r>
      <w:proofErr w:type="spellStart"/>
      <w:r w:rsidRPr="002C0EBE">
        <w:rPr>
          <w:b/>
          <w:bCs/>
        </w:rPr>
        <w:t>Formu"</w:t>
      </w:r>
      <w:r w:rsidRPr="002C0EBE">
        <w:t>nu</w:t>
      </w:r>
      <w:proofErr w:type="spellEnd"/>
      <w:r w:rsidRPr="002C0EBE">
        <w:t xml:space="preserve"> doldurarak genel sekreterliğe bildirir. Genel sekreterliğe gönderilen form ile servislerden </w:t>
      </w:r>
      <w:r w:rsidRPr="002C0EBE">
        <w:lastRenderedPageBreak/>
        <w:t xml:space="preserve">eczaneye gelen formlar sağlık tesisi konu ile ilgili sorumlu eczacı tarafından saklanır. Genel sekreterlik eczacısı sağlık tesislerince gönderilen formları birleştirerek </w:t>
      </w:r>
      <w:r w:rsidRPr="002C0EBE">
        <w:rPr>
          <w:b/>
          <w:bCs/>
        </w:rPr>
        <w:t xml:space="preserve">"Genel Sekreterlikler Yarım Doz İlaç İmha Bildirim </w:t>
      </w:r>
      <w:proofErr w:type="spellStart"/>
      <w:r w:rsidRPr="002C0EBE">
        <w:rPr>
          <w:b/>
          <w:bCs/>
        </w:rPr>
        <w:t>Formu"</w:t>
      </w:r>
      <w:r w:rsidRPr="002C0EBE">
        <w:t>nu</w:t>
      </w:r>
      <w:proofErr w:type="spellEnd"/>
      <w:r w:rsidRPr="002C0EBE">
        <w:t xml:space="preserve"> "hastane.eczaciligi@saglik.gov.tr" adresine üç aylık dönemlerde takip eden ayın ilk haftası mail olarak bildirir. Sağlık tesislerinden genel sekreterliğe gönderilen formlar, genel sekreterlik konu ile ilgili sorumlu eczacı tarafından saklanmalıdır. </w:t>
      </w:r>
    </w:p>
    <w:p w:rsidR="00ED3144" w:rsidRPr="002C0EBE" w:rsidRDefault="00ED3144" w:rsidP="00ED3144">
      <w:pPr>
        <w:pStyle w:val="Default"/>
        <w:spacing w:line="360" w:lineRule="auto"/>
        <w:jc w:val="both"/>
        <w:rPr>
          <w:b/>
          <w:u w:val="single"/>
        </w:rPr>
      </w:pPr>
      <w:r w:rsidRPr="002C0EBE">
        <w:rPr>
          <w:b/>
          <w:i/>
          <w:iCs/>
          <w:u w:val="single"/>
        </w:rPr>
        <w:t xml:space="preserve">4.2 Sağlık tesisi eczanesinde aseptik ilaç hazırlamaya uygun sistemler bulunuyorsa; </w:t>
      </w:r>
    </w:p>
    <w:p w:rsidR="00ED3144" w:rsidRPr="002C0EBE" w:rsidRDefault="00ED3144" w:rsidP="00ED3144">
      <w:pPr>
        <w:pStyle w:val="Default"/>
        <w:spacing w:line="360" w:lineRule="auto"/>
        <w:jc w:val="both"/>
      </w:pPr>
      <w:r w:rsidRPr="002C0EBE">
        <w:t xml:space="preserve">4.2.1 Sağlık tesislerinde yarım kalan ve </w:t>
      </w:r>
      <w:proofErr w:type="spellStart"/>
      <w:r w:rsidRPr="002C0EBE">
        <w:t>stabilitesi</w:t>
      </w:r>
      <w:proofErr w:type="spellEnd"/>
      <w:r w:rsidRPr="002C0EBE">
        <w:t xml:space="preserve"> korunup saklama koşulları sağlandığında kalan dozu kullanılabilen ilaçların listesi </w:t>
      </w:r>
      <w:r w:rsidRPr="002C0EBE">
        <w:rPr>
          <w:b/>
          <w:bCs/>
        </w:rPr>
        <w:t xml:space="preserve">(Açılmış ve Hazırlanmış İlaçların Saklama Koşul ve Sürelerini Gösteren Liste) </w:t>
      </w:r>
      <w:r w:rsidRPr="002C0EBE">
        <w:t xml:space="preserve">eczacı tarafından sağlık tesisinde kullanılan ilaçlar göz önünde bulundurularak hazırlanmalı ve liste (alımlara göre) gerektiğinde revize edilmelidir. Söz konusu listede ilacın ticari ismi, etken maddesi, saklama koşulları ve </w:t>
      </w:r>
      <w:proofErr w:type="spellStart"/>
      <w:r w:rsidRPr="002C0EBE">
        <w:t>stabilitesini</w:t>
      </w:r>
      <w:proofErr w:type="spellEnd"/>
      <w:r w:rsidRPr="002C0EBE">
        <w:t xml:space="preserve"> koruduğu zaman aralığı belirtilmelidir. Bu listeler bağlı bulunulan Genel sekreterliğe bildirilmelidir. </w:t>
      </w:r>
    </w:p>
    <w:p w:rsidR="00ED3144" w:rsidRPr="002C0EBE" w:rsidRDefault="00ED3144" w:rsidP="00ED3144">
      <w:pPr>
        <w:pStyle w:val="Default"/>
        <w:spacing w:line="360" w:lineRule="auto"/>
        <w:jc w:val="both"/>
      </w:pPr>
      <w:r w:rsidRPr="002C0EBE">
        <w:t xml:space="preserve">4.2.2 Doz bölünmesi yapılamayacak dozaj formları ve açıldıktan sonra </w:t>
      </w:r>
      <w:proofErr w:type="gramStart"/>
      <w:r w:rsidRPr="002C0EBE">
        <w:t>stabil</w:t>
      </w:r>
      <w:proofErr w:type="gramEnd"/>
      <w:r w:rsidRPr="002C0EBE">
        <w:t xml:space="preserve"> kalamaması sebebiyle yarım kalan dozu saklanamayan ilaçlar </w:t>
      </w:r>
      <w:r w:rsidRPr="002C0EBE">
        <w:rPr>
          <w:b/>
          <w:bCs/>
        </w:rPr>
        <w:t xml:space="preserve">(Bölünemeyen İlaçlar Listesi) </w:t>
      </w:r>
      <w:r w:rsidRPr="002C0EBE">
        <w:t xml:space="preserve">ile ilgili listeler eczacı tarafından sağlık tesisinde kullanılan ilaçlar göz önünde bulundurularak hazırlanmalı ve liste (alımlara göre) gerektiğinde revize edilmelidir. </w:t>
      </w:r>
    </w:p>
    <w:p w:rsidR="00ED3144" w:rsidRPr="002C0EBE" w:rsidRDefault="00ED3144" w:rsidP="00ED3144">
      <w:pPr>
        <w:pStyle w:val="Default"/>
        <w:spacing w:line="360" w:lineRule="auto"/>
        <w:jc w:val="both"/>
      </w:pPr>
      <w:r w:rsidRPr="002C0EBE">
        <w:t xml:space="preserve">4.2.3 Açılmış ve Hazırlanmış İlaçların Saklama Koşul ve Sürelerini Gösteren Liste, Bölünemeyen İlaçlar Listesi ve Aseptik Koşulda İlaç Hazırlama Sürecinin Yönetimine Dair Talimata göre; ilaçlar aseptik ünitede şekilde hazırlanır. Bölünebilir dozlardaki ilaçların üzerine açılış tarih ve saatinin yazılması, her ilacın özelliğine göre uygun koşullarda saklanması; servis sorumlu hemşiresi ve servis hemşireleri tarafından sağlanır. Eczacı tarafından bunların kontrolü yapılır. </w:t>
      </w:r>
      <w:proofErr w:type="spellStart"/>
      <w:r w:rsidRPr="002C0EBE">
        <w:t>Stabilitesini</w:t>
      </w:r>
      <w:proofErr w:type="spellEnd"/>
      <w:r w:rsidRPr="002C0EBE">
        <w:t xml:space="preserve"> koruyamayan kısmi dozlar ise 1. maddedeki </w:t>
      </w:r>
      <w:proofErr w:type="gramStart"/>
      <w:r w:rsidRPr="002C0EBE">
        <w:t>prosedüre</w:t>
      </w:r>
      <w:proofErr w:type="gramEnd"/>
      <w:r w:rsidRPr="002C0EBE">
        <w:t xml:space="preserve"> göre imha edilir. </w:t>
      </w:r>
    </w:p>
    <w:p w:rsidR="00ED3144" w:rsidRDefault="00ED3144" w:rsidP="00ED3144">
      <w:pPr>
        <w:pStyle w:val="Default"/>
        <w:spacing w:line="360" w:lineRule="auto"/>
        <w:jc w:val="both"/>
      </w:pPr>
      <w:r w:rsidRPr="002C0EBE">
        <w:t xml:space="preserve">4.2.4 İlaç israfının önlenmesi ve faturalandırma açısından kayıpların minimuma indirilmesi amacıyla, eğer birim doz olarak faturalandırma yapılabiliyorsa, çoklu doz kullanılan ilaçların en küçük birim doz bazında faturalandırılması gerekmektedir. Bu durumda hastaya uygulanan dozların mg, ml, IU olarak </w:t>
      </w:r>
      <w:proofErr w:type="spellStart"/>
      <w:r w:rsidRPr="002C0EBE">
        <w:t>HBYS’ye</w:t>
      </w:r>
      <w:proofErr w:type="spellEnd"/>
      <w:r w:rsidRPr="002C0EBE">
        <w:t xml:space="preserve"> kaydedilmesi gerekir. </w:t>
      </w:r>
    </w:p>
    <w:p w:rsidR="00ED3144" w:rsidRPr="00ED3144" w:rsidRDefault="00ED3144" w:rsidP="00ED3144">
      <w:pPr>
        <w:pStyle w:val="Default"/>
        <w:spacing w:line="360" w:lineRule="auto"/>
        <w:jc w:val="both"/>
      </w:pPr>
    </w:p>
    <w:p w:rsidR="00ED3144" w:rsidRPr="002C0EBE" w:rsidRDefault="00ED3144" w:rsidP="00ED3144">
      <w:pPr>
        <w:pStyle w:val="Default"/>
        <w:spacing w:line="360" w:lineRule="auto"/>
        <w:jc w:val="both"/>
      </w:pPr>
      <w:r w:rsidRPr="002C0EBE">
        <w:rPr>
          <w:b/>
          <w:bCs/>
        </w:rPr>
        <w:t xml:space="preserve">5. İLGİLİ DÖKÜMANLAR </w:t>
      </w:r>
    </w:p>
    <w:p w:rsidR="00ED3144" w:rsidRPr="002C0EBE" w:rsidRDefault="00ED3144" w:rsidP="00ED3144">
      <w:pPr>
        <w:pStyle w:val="Default"/>
        <w:spacing w:line="360" w:lineRule="auto"/>
        <w:jc w:val="both"/>
      </w:pPr>
      <w:r w:rsidRPr="002C0EBE">
        <w:rPr>
          <w:b/>
          <w:bCs/>
        </w:rPr>
        <w:t xml:space="preserve">5.1 FORMLAR </w:t>
      </w:r>
    </w:p>
    <w:p w:rsidR="00ED3144" w:rsidRPr="002C0EBE" w:rsidRDefault="00ED3144" w:rsidP="00ED3144">
      <w:pPr>
        <w:pStyle w:val="Default"/>
        <w:spacing w:line="360" w:lineRule="auto"/>
        <w:jc w:val="both"/>
      </w:pPr>
      <w:r w:rsidRPr="002C0EBE">
        <w:t xml:space="preserve">5.1.1 Sağlık Tesisleri İçin Yarım Doz İlaç İmha Bildirim Formu (Sağlık Tesisi içinde Servis Hemşiresi, Servis Sorumlu Hemşiresi ve Hekim tarafından doldurularak Eczaneye teslim edilmelidir.) </w:t>
      </w:r>
    </w:p>
    <w:p w:rsidR="00ED3144" w:rsidRPr="002C0EBE" w:rsidRDefault="00ED3144" w:rsidP="00ED3144">
      <w:pPr>
        <w:pStyle w:val="Default"/>
        <w:spacing w:line="360" w:lineRule="auto"/>
        <w:jc w:val="both"/>
      </w:pPr>
      <w:r w:rsidRPr="002C0EBE">
        <w:t xml:space="preserve">5.1.2. Genel Sekreterlikler İçin Yarım Doz İlaç İmha Bildirim Formu (Genel Sekreterliklere hazırlanacak veriler için, Sağlık Tesisi Eczacısı veya Eczane Sorumlusu tarafından doldurulmalı; Genel sekreterlik eczacısı tarafından </w:t>
      </w:r>
      <w:proofErr w:type="gramStart"/>
      <w:r w:rsidRPr="002C0EBE">
        <w:t>konsolide</w:t>
      </w:r>
      <w:proofErr w:type="gramEnd"/>
      <w:r w:rsidRPr="002C0EBE">
        <w:t xml:space="preserve"> edilip birleştirilmiş hali hastane.eczaciligi@saglik.gov.tr adresine gönderilmelidir.) </w:t>
      </w:r>
    </w:p>
    <w:p w:rsidR="00ED3144" w:rsidRDefault="00ED3144" w:rsidP="00ED3144">
      <w:pPr>
        <w:pStyle w:val="Default"/>
        <w:jc w:val="both"/>
        <w:rPr>
          <w:b/>
          <w:bCs/>
        </w:rPr>
      </w:pPr>
    </w:p>
    <w:p w:rsidR="00ED3144" w:rsidRPr="002C0EBE" w:rsidRDefault="00ED3144" w:rsidP="00ED3144">
      <w:pPr>
        <w:pStyle w:val="Default"/>
        <w:spacing w:line="360" w:lineRule="auto"/>
        <w:jc w:val="both"/>
      </w:pPr>
      <w:r w:rsidRPr="002C0EBE">
        <w:rPr>
          <w:b/>
          <w:bCs/>
        </w:rPr>
        <w:t xml:space="preserve">DAYANAK: </w:t>
      </w:r>
    </w:p>
    <w:p w:rsidR="00ED3144" w:rsidRPr="002C0EBE" w:rsidRDefault="00ED3144" w:rsidP="00ED3144">
      <w:pPr>
        <w:pStyle w:val="Default"/>
        <w:numPr>
          <w:ilvl w:val="0"/>
          <w:numId w:val="2"/>
        </w:numPr>
        <w:spacing w:line="360" w:lineRule="auto"/>
        <w:jc w:val="both"/>
      </w:pPr>
      <w:r w:rsidRPr="002C0EBE">
        <w:t xml:space="preserve">T.C. Sağlık Bakanlığı Türkiye Kamu Hastaneleri Kurumu Mali Hizmetler Kurum Başkan Yardımcılığı’nın </w:t>
      </w:r>
    </w:p>
    <w:p w:rsidR="00ED3144" w:rsidRPr="002C0EBE" w:rsidRDefault="00ED3144" w:rsidP="00ED3144">
      <w:pPr>
        <w:pStyle w:val="Default"/>
        <w:numPr>
          <w:ilvl w:val="0"/>
          <w:numId w:val="2"/>
        </w:numPr>
        <w:spacing w:line="360" w:lineRule="auto"/>
        <w:jc w:val="both"/>
      </w:pPr>
      <w:r w:rsidRPr="002C0EBE">
        <w:lastRenderedPageBreak/>
        <w:t xml:space="preserve">17.07.2014 Tarih 2014 / 80981279 sayılı yazısı </w:t>
      </w:r>
    </w:p>
    <w:p w:rsidR="00ED3144" w:rsidRPr="002C0EBE" w:rsidRDefault="00ED3144" w:rsidP="00ED3144">
      <w:pPr>
        <w:pStyle w:val="Default"/>
        <w:numPr>
          <w:ilvl w:val="0"/>
          <w:numId w:val="2"/>
        </w:numPr>
        <w:spacing w:line="360" w:lineRule="auto"/>
        <w:jc w:val="both"/>
      </w:pPr>
      <w:r w:rsidRPr="002C0EBE">
        <w:t xml:space="preserve">17.07.2014 Tarih 2014.5458.259/500 sayılı yazısı </w:t>
      </w:r>
    </w:p>
    <w:p w:rsidR="00ED3144" w:rsidRPr="002C0EBE" w:rsidRDefault="00ED3144" w:rsidP="00ED3144">
      <w:pPr>
        <w:pStyle w:val="Default"/>
        <w:numPr>
          <w:ilvl w:val="0"/>
          <w:numId w:val="2"/>
        </w:numPr>
        <w:spacing w:line="360" w:lineRule="auto"/>
        <w:jc w:val="both"/>
      </w:pPr>
      <w:r w:rsidRPr="002C0EBE">
        <w:t xml:space="preserve">17.07.2014 Tarih 2014.5458.685/809.99 sayılı yazısı </w:t>
      </w:r>
    </w:p>
    <w:p w:rsidR="00ED3144" w:rsidRDefault="00ED3144" w:rsidP="00F82CCC">
      <w:pPr>
        <w:pStyle w:val="ListeParagraf"/>
        <w:widowControl/>
        <w:numPr>
          <w:ilvl w:val="0"/>
          <w:numId w:val="2"/>
        </w:numPr>
        <w:autoSpaceDE/>
        <w:autoSpaceDN/>
        <w:spacing w:after="200" w:line="360" w:lineRule="auto"/>
        <w:contextualSpacing/>
        <w:jc w:val="both"/>
        <w:rPr>
          <w:sz w:val="24"/>
          <w:szCs w:val="24"/>
          <w:lang w:val="tr-TR"/>
        </w:rPr>
      </w:pPr>
      <w:r w:rsidRPr="00ED3144">
        <w:rPr>
          <w:sz w:val="24"/>
          <w:szCs w:val="24"/>
          <w:lang w:val="tr-TR"/>
        </w:rPr>
        <w:t>Yataklı Tedavi Kurumlarında Kontrole Tabi İlaçların Takibi 2106/6 tarihli Genelge</w:t>
      </w:r>
    </w:p>
    <w:p w:rsidR="00F82CCC" w:rsidRPr="00F82CCC" w:rsidRDefault="00F82CCC" w:rsidP="00F82CCC">
      <w:pPr>
        <w:pStyle w:val="ListeParagraf"/>
        <w:widowControl/>
        <w:autoSpaceDE/>
        <w:autoSpaceDN/>
        <w:spacing w:after="200" w:line="360" w:lineRule="auto"/>
        <w:ind w:left="720"/>
        <w:contextualSpacing/>
        <w:jc w:val="both"/>
        <w:rPr>
          <w:sz w:val="24"/>
          <w:szCs w:val="24"/>
          <w:lang w:val="tr-TR"/>
        </w:rPr>
      </w:pPr>
    </w:p>
    <w:p w:rsidR="00AC1E08" w:rsidRDefault="00AC1E08" w:rsidP="00AC1E08">
      <w:pPr>
        <w:tabs>
          <w:tab w:val="left" w:pos="3624"/>
        </w:tabs>
      </w:pPr>
    </w:p>
    <w:tbl>
      <w:tblPr>
        <w:tblStyle w:val="TabloKlavuzu"/>
        <w:tblW w:w="0" w:type="auto"/>
        <w:tblLook w:val="04A0" w:firstRow="1" w:lastRow="0" w:firstColumn="1" w:lastColumn="0" w:noHBand="0" w:noVBand="1"/>
      </w:tblPr>
      <w:tblGrid>
        <w:gridCol w:w="3679"/>
        <w:gridCol w:w="3943"/>
        <w:gridCol w:w="3282"/>
      </w:tblGrid>
      <w:tr w:rsidR="00AC1E08" w:rsidTr="00CB041E">
        <w:trPr>
          <w:trHeight w:val="825"/>
        </w:trPr>
        <w:tc>
          <w:tcPr>
            <w:tcW w:w="3823" w:type="dxa"/>
            <w:shd w:val="clear" w:color="auto" w:fill="F2F2F2" w:themeFill="background1" w:themeFillShade="F2"/>
          </w:tcPr>
          <w:p w:rsidR="00AC1E08" w:rsidRPr="00A94D22" w:rsidRDefault="00AC1E08" w:rsidP="00BF3E8E">
            <w:pPr>
              <w:tabs>
                <w:tab w:val="left" w:pos="3624"/>
              </w:tabs>
              <w:jc w:val="center"/>
              <w:rPr>
                <w:b/>
                <w:sz w:val="24"/>
                <w:szCs w:val="24"/>
              </w:rPr>
            </w:pPr>
            <w:proofErr w:type="spellStart"/>
            <w:r w:rsidRPr="00A94D22">
              <w:rPr>
                <w:b/>
                <w:sz w:val="24"/>
                <w:szCs w:val="24"/>
              </w:rPr>
              <w:t>Hazırlayan</w:t>
            </w:r>
            <w:proofErr w:type="spellEnd"/>
          </w:p>
          <w:p w:rsidR="00AC1E08" w:rsidRPr="00A94D22" w:rsidRDefault="00AC1E08" w:rsidP="00BF3E8E">
            <w:pPr>
              <w:tabs>
                <w:tab w:val="left" w:pos="3624"/>
              </w:tabs>
              <w:jc w:val="center"/>
              <w:rPr>
                <w:sz w:val="24"/>
                <w:szCs w:val="24"/>
              </w:rPr>
            </w:pPr>
            <w:proofErr w:type="spellStart"/>
            <w:r>
              <w:rPr>
                <w:b/>
                <w:sz w:val="24"/>
                <w:szCs w:val="24"/>
              </w:rPr>
              <w:t>Kalite</w:t>
            </w:r>
            <w:proofErr w:type="spellEnd"/>
            <w:r>
              <w:rPr>
                <w:b/>
                <w:sz w:val="24"/>
                <w:szCs w:val="24"/>
              </w:rPr>
              <w:t xml:space="preserve"> </w:t>
            </w:r>
            <w:proofErr w:type="spellStart"/>
            <w:r>
              <w:rPr>
                <w:b/>
                <w:sz w:val="24"/>
                <w:szCs w:val="24"/>
              </w:rPr>
              <w:t>Yönetim</w:t>
            </w:r>
            <w:proofErr w:type="spellEnd"/>
            <w:r>
              <w:rPr>
                <w:b/>
                <w:sz w:val="24"/>
                <w:szCs w:val="24"/>
              </w:rPr>
              <w:t xml:space="preserve"> </w:t>
            </w:r>
            <w:proofErr w:type="spellStart"/>
            <w:r>
              <w:rPr>
                <w:b/>
                <w:sz w:val="24"/>
                <w:szCs w:val="24"/>
              </w:rPr>
              <w:t>Birimi</w:t>
            </w:r>
            <w:proofErr w:type="spellEnd"/>
            <w:r>
              <w:rPr>
                <w:b/>
                <w:sz w:val="24"/>
                <w:szCs w:val="24"/>
              </w:rPr>
              <w:t xml:space="preserve"> </w:t>
            </w:r>
            <w:proofErr w:type="spellStart"/>
            <w:r>
              <w:rPr>
                <w:b/>
                <w:sz w:val="24"/>
                <w:szCs w:val="24"/>
              </w:rPr>
              <w:t>Sorumlusu</w:t>
            </w:r>
            <w:proofErr w:type="spellEnd"/>
          </w:p>
        </w:tc>
        <w:tc>
          <w:tcPr>
            <w:tcW w:w="4110" w:type="dxa"/>
            <w:shd w:val="clear" w:color="auto" w:fill="F2F2F2" w:themeFill="background1" w:themeFillShade="F2"/>
          </w:tcPr>
          <w:p w:rsidR="00AC1E08" w:rsidRPr="00A94D22" w:rsidRDefault="00AC1E08" w:rsidP="00BF3E8E">
            <w:pPr>
              <w:tabs>
                <w:tab w:val="left" w:pos="3624"/>
              </w:tabs>
              <w:jc w:val="center"/>
              <w:rPr>
                <w:b/>
                <w:sz w:val="24"/>
                <w:szCs w:val="24"/>
              </w:rPr>
            </w:pPr>
            <w:proofErr w:type="spellStart"/>
            <w:r w:rsidRPr="00A94D22">
              <w:rPr>
                <w:b/>
                <w:sz w:val="24"/>
                <w:szCs w:val="24"/>
              </w:rPr>
              <w:t>Kontrol</w:t>
            </w:r>
            <w:proofErr w:type="spellEnd"/>
            <w:r w:rsidRPr="00A94D22">
              <w:rPr>
                <w:b/>
                <w:sz w:val="24"/>
                <w:szCs w:val="24"/>
              </w:rPr>
              <w:t xml:space="preserve"> Eden</w:t>
            </w:r>
          </w:p>
          <w:p w:rsidR="00AC1E08" w:rsidRPr="00A94D22" w:rsidRDefault="00AC1E08" w:rsidP="00BF3E8E">
            <w:pPr>
              <w:tabs>
                <w:tab w:val="left" w:pos="3624"/>
              </w:tabs>
              <w:jc w:val="center"/>
              <w:rPr>
                <w:sz w:val="24"/>
                <w:szCs w:val="24"/>
              </w:rPr>
            </w:pPr>
            <w:proofErr w:type="spellStart"/>
            <w:r w:rsidRPr="00A94D22">
              <w:rPr>
                <w:b/>
                <w:sz w:val="24"/>
                <w:szCs w:val="24"/>
              </w:rPr>
              <w:t>Kalite</w:t>
            </w:r>
            <w:proofErr w:type="spellEnd"/>
            <w:r w:rsidRPr="00A94D22">
              <w:rPr>
                <w:b/>
                <w:sz w:val="24"/>
                <w:szCs w:val="24"/>
              </w:rPr>
              <w:t xml:space="preserve"> </w:t>
            </w:r>
            <w:proofErr w:type="spellStart"/>
            <w:r w:rsidRPr="00A94D22">
              <w:rPr>
                <w:b/>
                <w:sz w:val="24"/>
                <w:szCs w:val="24"/>
              </w:rPr>
              <w:t>Yönetim</w:t>
            </w:r>
            <w:proofErr w:type="spellEnd"/>
            <w:r w:rsidRPr="00A94D22">
              <w:rPr>
                <w:b/>
                <w:sz w:val="24"/>
                <w:szCs w:val="24"/>
              </w:rPr>
              <w:t xml:space="preserve"> </w:t>
            </w:r>
            <w:proofErr w:type="spellStart"/>
            <w:r w:rsidRPr="00A94D22">
              <w:rPr>
                <w:b/>
                <w:sz w:val="24"/>
                <w:szCs w:val="24"/>
              </w:rPr>
              <w:t>Direktörü</w:t>
            </w:r>
            <w:proofErr w:type="spellEnd"/>
          </w:p>
        </w:tc>
        <w:tc>
          <w:tcPr>
            <w:tcW w:w="3402" w:type="dxa"/>
            <w:shd w:val="clear" w:color="auto" w:fill="F2F2F2" w:themeFill="background1" w:themeFillShade="F2"/>
          </w:tcPr>
          <w:p w:rsidR="00AC1E08" w:rsidRPr="00A94D22" w:rsidRDefault="00AC1E08" w:rsidP="00BF3E8E">
            <w:pPr>
              <w:tabs>
                <w:tab w:val="left" w:pos="3624"/>
              </w:tabs>
              <w:jc w:val="center"/>
              <w:rPr>
                <w:b/>
                <w:sz w:val="24"/>
                <w:szCs w:val="24"/>
              </w:rPr>
            </w:pPr>
            <w:proofErr w:type="spellStart"/>
            <w:r w:rsidRPr="00A94D22">
              <w:rPr>
                <w:b/>
                <w:sz w:val="24"/>
                <w:szCs w:val="24"/>
              </w:rPr>
              <w:t>Onaylayan</w:t>
            </w:r>
            <w:proofErr w:type="spellEnd"/>
          </w:p>
          <w:p w:rsidR="00AC1E08" w:rsidRPr="00A94D22" w:rsidRDefault="00AC1E08" w:rsidP="00BF3E8E">
            <w:pPr>
              <w:tabs>
                <w:tab w:val="left" w:pos="3624"/>
              </w:tabs>
              <w:jc w:val="center"/>
              <w:rPr>
                <w:sz w:val="24"/>
                <w:szCs w:val="24"/>
              </w:rPr>
            </w:pPr>
            <w:proofErr w:type="spellStart"/>
            <w:r>
              <w:rPr>
                <w:b/>
                <w:sz w:val="24"/>
                <w:szCs w:val="24"/>
              </w:rPr>
              <w:t>Dekan</w:t>
            </w:r>
            <w:proofErr w:type="spellEnd"/>
          </w:p>
        </w:tc>
      </w:tr>
      <w:tr w:rsidR="00AC1E08" w:rsidTr="00AC1E08">
        <w:trPr>
          <w:trHeight w:val="825"/>
        </w:trPr>
        <w:tc>
          <w:tcPr>
            <w:tcW w:w="3823" w:type="dxa"/>
          </w:tcPr>
          <w:p w:rsidR="00AC1E08" w:rsidRPr="00A94D22" w:rsidRDefault="00AC1E08" w:rsidP="00BF3E8E">
            <w:pPr>
              <w:tabs>
                <w:tab w:val="left" w:pos="3624"/>
              </w:tabs>
              <w:jc w:val="center"/>
              <w:rPr>
                <w:b/>
                <w:sz w:val="24"/>
                <w:szCs w:val="24"/>
              </w:rPr>
            </w:pPr>
          </w:p>
        </w:tc>
        <w:tc>
          <w:tcPr>
            <w:tcW w:w="4110" w:type="dxa"/>
          </w:tcPr>
          <w:p w:rsidR="00AC1E08" w:rsidRPr="00A94D22" w:rsidRDefault="00AC1E08" w:rsidP="00BF3E8E">
            <w:pPr>
              <w:tabs>
                <w:tab w:val="left" w:pos="3624"/>
              </w:tabs>
              <w:jc w:val="center"/>
              <w:rPr>
                <w:b/>
                <w:sz w:val="24"/>
                <w:szCs w:val="24"/>
              </w:rPr>
            </w:pPr>
          </w:p>
        </w:tc>
        <w:tc>
          <w:tcPr>
            <w:tcW w:w="3402" w:type="dxa"/>
          </w:tcPr>
          <w:p w:rsidR="00AC1E08" w:rsidRPr="00A94D22" w:rsidRDefault="00AC1E08" w:rsidP="00BF3E8E">
            <w:pPr>
              <w:tabs>
                <w:tab w:val="left" w:pos="3624"/>
              </w:tabs>
              <w:jc w:val="center"/>
              <w:rPr>
                <w:b/>
                <w:sz w:val="24"/>
                <w:szCs w:val="24"/>
              </w:rPr>
            </w:pPr>
          </w:p>
        </w:tc>
      </w:tr>
    </w:tbl>
    <w:p w:rsidR="00AC1E08" w:rsidRPr="00A94D22" w:rsidRDefault="00AC1E08" w:rsidP="00AC1E08">
      <w:pPr>
        <w:tabs>
          <w:tab w:val="left" w:pos="3624"/>
        </w:tabs>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6767FA" w:rsidRPr="006767FA" w:rsidRDefault="006767FA" w:rsidP="00A9702A">
      <w:pPr>
        <w:tabs>
          <w:tab w:val="left" w:pos="3174"/>
          <w:tab w:val="left" w:pos="5436"/>
          <w:tab w:val="left" w:pos="7716"/>
          <w:tab w:val="left" w:pos="10028"/>
        </w:tabs>
        <w:ind w:left="378"/>
        <w:rPr>
          <w:color w:val="151616"/>
          <w:position w:val="2"/>
          <w:sz w:val="10"/>
          <w:szCs w:val="16"/>
        </w:rPr>
      </w:pPr>
    </w:p>
    <w:sectPr w:rsidR="006767FA" w:rsidRPr="006767FA" w:rsidSect="00ED3144">
      <w:headerReference w:type="default" r:id="rId7"/>
      <w:type w:val="continuous"/>
      <w:pgSz w:w="11910" w:h="16840"/>
      <w:pgMar w:top="100" w:right="570" w:bottom="280" w:left="426" w:header="283"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C94" w:rsidRDefault="007B5C94" w:rsidP="006767FA">
      <w:r>
        <w:separator/>
      </w:r>
    </w:p>
  </w:endnote>
  <w:endnote w:type="continuationSeparator" w:id="0">
    <w:p w:rsidR="007B5C94" w:rsidRDefault="007B5C94"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C94" w:rsidRDefault="007B5C94" w:rsidP="006767FA">
      <w:r>
        <w:separator/>
      </w:r>
    </w:p>
  </w:footnote>
  <w:footnote w:type="continuationSeparator" w:id="0">
    <w:p w:rsidR="007B5C94" w:rsidRDefault="007B5C94" w:rsidP="00676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1" w:type="dxa"/>
      <w:jc w:val="center"/>
      <w:tblLayout w:type="fixed"/>
      <w:tblLook w:val="01E0" w:firstRow="1" w:lastRow="1" w:firstColumn="1" w:lastColumn="1" w:noHBand="0" w:noVBand="0"/>
    </w:tblPr>
    <w:tblGrid>
      <w:gridCol w:w="1728"/>
      <w:gridCol w:w="6885"/>
      <w:gridCol w:w="1958"/>
    </w:tblGrid>
    <w:tr w:rsidR="006767FA" w:rsidRPr="00426003" w:rsidTr="00DD1C53">
      <w:trPr>
        <w:trHeight w:val="1643"/>
        <w:jc w:val="center"/>
      </w:trPr>
      <w:tc>
        <w:tcPr>
          <w:tcW w:w="1728" w:type="dxa"/>
          <w:tcMar>
            <w:top w:w="57" w:type="dxa"/>
            <w:bottom w:w="57" w:type="dxa"/>
          </w:tcMar>
          <w:vAlign w:val="center"/>
        </w:tcPr>
        <w:p w:rsidR="006767FA" w:rsidRPr="00426003" w:rsidRDefault="006767FA" w:rsidP="006767FA">
          <w:pPr>
            <w:jc w:val="center"/>
            <w:rPr>
              <w:b/>
              <w:sz w:val="20"/>
            </w:rPr>
          </w:pPr>
          <w:r w:rsidRPr="00DB3ECB">
            <w:rPr>
              <w:b/>
              <w:noProof/>
              <w:lang w:val="tr-TR" w:eastAsia="tr-TR"/>
            </w:rPr>
            <w:drawing>
              <wp:inline distT="0" distB="0" distL="0" distR="0" wp14:anchorId="52A286E9" wp14:editId="401E6BAA">
                <wp:extent cx="676275" cy="923925"/>
                <wp:effectExtent l="0" t="0" r="0" b="0"/>
                <wp:docPr id="9" name="Resim 9"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AC1E08" w:rsidRDefault="006767FA" w:rsidP="006767FA">
          <w:pPr>
            <w:jc w:val="center"/>
            <w:rPr>
              <w:b/>
              <w:sz w:val="24"/>
              <w:szCs w:val="24"/>
            </w:rPr>
          </w:pPr>
          <w:r w:rsidRPr="00AC1E08">
            <w:rPr>
              <w:b/>
              <w:sz w:val="24"/>
              <w:szCs w:val="24"/>
            </w:rPr>
            <w:t>T.C.</w:t>
          </w:r>
        </w:p>
        <w:p w:rsidR="009E048D" w:rsidRPr="00AC1E08" w:rsidRDefault="006767FA" w:rsidP="006767FA">
          <w:pPr>
            <w:jc w:val="center"/>
            <w:rPr>
              <w:b/>
              <w:sz w:val="24"/>
              <w:szCs w:val="24"/>
            </w:rPr>
          </w:pPr>
          <w:r w:rsidRPr="00AC1E08">
            <w:rPr>
              <w:b/>
              <w:sz w:val="24"/>
              <w:szCs w:val="24"/>
            </w:rPr>
            <w:t>SAKARYA ÜNİVERSİTESİ</w:t>
          </w:r>
        </w:p>
        <w:p w:rsidR="006767FA" w:rsidRPr="00AC1E08" w:rsidRDefault="006767FA" w:rsidP="006767FA">
          <w:pPr>
            <w:jc w:val="center"/>
            <w:rPr>
              <w:b/>
              <w:sz w:val="24"/>
              <w:szCs w:val="24"/>
            </w:rPr>
          </w:pPr>
          <w:r w:rsidRPr="00AC1E08">
            <w:rPr>
              <w:b/>
              <w:sz w:val="24"/>
              <w:szCs w:val="24"/>
            </w:rPr>
            <w:t xml:space="preserve"> DİŞ HEKİMLİĞİ FAKÜLTESİ</w:t>
          </w:r>
        </w:p>
        <w:p w:rsidR="0030198F" w:rsidRDefault="0030198F" w:rsidP="0030198F">
          <w:pPr>
            <w:pStyle w:val="GvdeMetni"/>
            <w:jc w:val="center"/>
            <w:rPr>
              <w:rFonts w:eastAsia="Arial"/>
            </w:rPr>
          </w:pPr>
          <w:r>
            <w:rPr>
              <w:rFonts w:eastAsia="Arial"/>
            </w:rPr>
            <w:t>AĞIZ VE DİŞ SAĞLIĞI MERKEZİ</w:t>
          </w:r>
        </w:p>
        <w:p w:rsidR="006767FA" w:rsidRPr="006767FA" w:rsidRDefault="00ED3144" w:rsidP="006767FA">
          <w:pPr>
            <w:pStyle w:val="GvdeMetni"/>
            <w:jc w:val="center"/>
            <w:rPr>
              <w:color w:val="151616"/>
            </w:rPr>
          </w:pPr>
          <w:r w:rsidRPr="00ED3144">
            <w:rPr>
              <w:snapToGrid w:val="0"/>
              <w:sz w:val="28"/>
              <w:szCs w:val="28"/>
            </w:rPr>
            <w:t>YARIM DOZ İLAÇLARIN YÖNETİMİ TALİMATI</w:t>
          </w:r>
        </w:p>
      </w:tc>
      <w:tc>
        <w:tcPr>
          <w:tcW w:w="1958" w:type="dxa"/>
          <w:vAlign w:val="bottom"/>
        </w:tcPr>
        <w:p w:rsidR="006767FA" w:rsidRPr="008F3DEF" w:rsidRDefault="006767FA" w:rsidP="006767FA">
          <w:pPr>
            <w:rPr>
              <w:sz w:val="2"/>
              <w:szCs w:val="2"/>
            </w:rPr>
          </w:pPr>
        </w:p>
      </w:tc>
    </w:tr>
  </w:tbl>
  <w:p w:rsidR="006767FA" w:rsidRDefault="006767FA" w:rsidP="006767FA">
    <w:pPr>
      <w:pStyle w:val="stbilgi"/>
      <w:rPr>
        <w:sz w:val="4"/>
        <w:szCs w:val="4"/>
      </w:rPr>
    </w:pPr>
    <w:r>
      <w:rPr>
        <w:noProof/>
        <w:lang w:val="tr-TR" w:eastAsia="tr-TR"/>
      </w:rPr>
      <w:drawing>
        <wp:anchor distT="0" distB="0" distL="114300" distR="114300" simplePos="0" relativeHeight="251659264" behindDoc="0" locked="0" layoutInCell="1" allowOverlap="1" wp14:anchorId="6A153C7C" wp14:editId="4BBE582F">
          <wp:simplePos x="0" y="0"/>
          <wp:positionH relativeFrom="column">
            <wp:posOffset>90805</wp:posOffset>
          </wp:positionH>
          <wp:positionV relativeFrom="paragraph">
            <wp:posOffset>1270</wp:posOffset>
          </wp:positionV>
          <wp:extent cx="7086600" cy="73660"/>
          <wp:effectExtent l="0" t="0" r="0" b="2540"/>
          <wp:wrapNone/>
          <wp:docPr id="10"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CB041E" w:rsidTr="00DD1C53">
      <w:trPr>
        <w:jc w:val="center"/>
      </w:trPr>
      <w:tc>
        <w:tcPr>
          <w:tcW w:w="2741" w:type="dxa"/>
        </w:tcPr>
        <w:p w:rsidR="00CB041E" w:rsidRPr="0095737F" w:rsidRDefault="00CB041E" w:rsidP="00CB041E">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00.DHF.TL.17 </w:t>
          </w:r>
        </w:p>
      </w:tc>
      <w:tc>
        <w:tcPr>
          <w:tcW w:w="2741" w:type="dxa"/>
        </w:tcPr>
        <w:p w:rsidR="00CB041E" w:rsidRPr="0095737F" w:rsidRDefault="00CB041E" w:rsidP="00CB041E">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31.12.2019</w:t>
          </w:r>
        </w:p>
      </w:tc>
      <w:tc>
        <w:tcPr>
          <w:tcW w:w="2741" w:type="dxa"/>
        </w:tcPr>
        <w:p w:rsidR="00CB041E" w:rsidRPr="0095737F" w:rsidRDefault="00CB041E" w:rsidP="00CB041E">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w:t>
          </w:r>
          <w:r w:rsidRPr="00FA4922">
            <w:rPr>
              <w:rStyle w:val="SayfaNumaras"/>
              <w:noProof/>
              <w:sz w:val="18"/>
              <w:szCs w:val="18"/>
            </w:rPr>
            <w:t>31.12.2019</w:t>
          </w:r>
        </w:p>
        <w:p w:rsidR="00CB041E" w:rsidRPr="0095737F" w:rsidRDefault="00CB041E" w:rsidP="00CB041E">
          <w:pPr>
            <w:rPr>
              <w:rStyle w:val="SayfaNumaras"/>
              <w:noProof/>
              <w:sz w:val="18"/>
              <w:szCs w:val="18"/>
            </w:rPr>
          </w:pPr>
        </w:p>
      </w:tc>
      <w:tc>
        <w:tcPr>
          <w:tcW w:w="1685" w:type="dxa"/>
        </w:tcPr>
        <w:p w:rsidR="00CB041E" w:rsidRPr="0095737F" w:rsidRDefault="00CB041E" w:rsidP="00CB041E">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CB041E" w:rsidRPr="0095737F" w:rsidRDefault="00CB041E" w:rsidP="00CB041E">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E360C0">
            <w:rPr>
              <w:rStyle w:val="SayfaNumaras"/>
              <w:noProof/>
              <w:sz w:val="18"/>
              <w:szCs w:val="18"/>
            </w:rPr>
            <w:t>2</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E360C0">
            <w:rPr>
              <w:rStyle w:val="SayfaNumaras"/>
              <w:noProof/>
              <w:sz w:val="18"/>
              <w:szCs w:val="18"/>
            </w:rPr>
            <w:t>3</w:t>
          </w:r>
          <w:r w:rsidRPr="0095737F">
            <w:rPr>
              <w:rStyle w:val="SayfaNumaras"/>
              <w:noProof/>
              <w:sz w:val="18"/>
              <w:szCs w:val="18"/>
            </w:rPr>
            <w:fldChar w:fldCharType="end"/>
          </w:r>
        </w:p>
      </w:tc>
    </w:tr>
  </w:tbl>
  <w:p w:rsidR="006767FA" w:rsidRPr="00346A66" w:rsidRDefault="006767FA" w:rsidP="006767FA">
    <w:pPr>
      <w:pStyle w:val="stbilgi"/>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572B2"/>
    <w:multiLevelType w:val="hybridMultilevel"/>
    <w:tmpl w:val="B3D6AE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B847352"/>
    <w:multiLevelType w:val="hybridMultilevel"/>
    <w:tmpl w:val="BD96BDCE"/>
    <w:lvl w:ilvl="0" w:tplc="041F0001">
      <w:start w:val="1"/>
      <w:numFmt w:val="bullet"/>
      <w:lvlText w:val=""/>
      <w:lvlJc w:val="left"/>
      <w:pPr>
        <w:ind w:left="420" w:hanging="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45D20"/>
    <w:rsid w:val="00047FD0"/>
    <w:rsid w:val="000915F1"/>
    <w:rsid w:val="000C707F"/>
    <w:rsid w:val="00215846"/>
    <w:rsid w:val="00297B48"/>
    <w:rsid w:val="002A38FC"/>
    <w:rsid w:val="0030198F"/>
    <w:rsid w:val="00303151"/>
    <w:rsid w:val="0030755C"/>
    <w:rsid w:val="00415B87"/>
    <w:rsid w:val="004B179E"/>
    <w:rsid w:val="005605F9"/>
    <w:rsid w:val="0057726F"/>
    <w:rsid w:val="00581857"/>
    <w:rsid w:val="00596728"/>
    <w:rsid w:val="00610A26"/>
    <w:rsid w:val="006767FA"/>
    <w:rsid w:val="006877B9"/>
    <w:rsid w:val="00690135"/>
    <w:rsid w:val="006E732A"/>
    <w:rsid w:val="007407F7"/>
    <w:rsid w:val="007B5C94"/>
    <w:rsid w:val="00874C2B"/>
    <w:rsid w:val="00941D7A"/>
    <w:rsid w:val="009E048D"/>
    <w:rsid w:val="009F722C"/>
    <w:rsid w:val="00A57F22"/>
    <w:rsid w:val="00A925B6"/>
    <w:rsid w:val="00A9702A"/>
    <w:rsid w:val="00AC1E08"/>
    <w:rsid w:val="00AC4029"/>
    <w:rsid w:val="00C13CB4"/>
    <w:rsid w:val="00C46FA8"/>
    <w:rsid w:val="00CB041E"/>
    <w:rsid w:val="00CE1ED9"/>
    <w:rsid w:val="00D17CFA"/>
    <w:rsid w:val="00D968A8"/>
    <w:rsid w:val="00E314C9"/>
    <w:rsid w:val="00E360C0"/>
    <w:rsid w:val="00E82560"/>
    <w:rsid w:val="00EA2187"/>
    <w:rsid w:val="00ED3144"/>
    <w:rsid w:val="00F6314B"/>
    <w:rsid w:val="00F82CC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59"/>
    <w:rsid w:val="00A9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 w:type="paragraph" w:customStyle="1" w:styleId="Default">
    <w:name w:val="Default"/>
    <w:rsid w:val="00ED3144"/>
    <w:pPr>
      <w:widowControl/>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263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4</cp:revision>
  <dcterms:created xsi:type="dcterms:W3CDTF">2020-01-07T07:13:00Z</dcterms:created>
  <dcterms:modified xsi:type="dcterms:W3CDTF">2020-01-14T08:33:00Z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