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>
      <w:bookmarkStart w:id="0" w:name="_GoBack"/>
      <w:bookmarkEnd w:id="0"/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B1F73" w:rsidTr="00346A1B">
        <w:trPr>
          <w:trHeight w:val="11188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66F3B" w:rsidRDefault="00066F3B" w:rsidP="00066F3B">
            <w:pPr>
              <w:rPr>
                <w:b/>
              </w:rPr>
            </w:pPr>
          </w:p>
          <w:p w:rsidR="00066F3B" w:rsidRDefault="00066F3B" w:rsidP="00066F3B">
            <w:pPr>
              <w:rPr>
                <w:b/>
              </w:rPr>
            </w:pPr>
          </w:p>
          <w:p w:rsidR="00066F3B" w:rsidRPr="001B77A2" w:rsidRDefault="00066F3B" w:rsidP="00066F3B">
            <w:pPr>
              <w:jc w:val="both"/>
              <w:rPr>
                <w:sz w:val="28"/>
                <w:szCs w:val="28"/>
              </w:rPr>
            </w:pPr>
            <w:r w:rsidRPr="001B77A2">
              <w:rPr>
                <w:sz w:val="28"/>
                <w:szCs w:val="28"/>
              </w:rPr>
              <w:t xml:space="preserve">          00 01 03 05 01 </w:t>
            </w:r>
            <w:proofErr w:type="spellStart"/>
            <w:r w:rsidRPr="001B77A2">
              <w:rPr>
                <w:sz w:val="28"/>
                <w:szCs w:val="28"/>
              </w:rPr>
              <w:t>nolu</w:t>
            </w:r>
            <w:proofErr w:type="spellEnd"/>
            <w:r w:rsidRPr="001B77A2">
              <w:rPr>
                <w:sz w:val="28"/>
                <w:szCs w:val="28"/>
              </w:rPr>
              <w:t xml:space="preserve"> standartla ilgili arızalanma ve acil durumlardaki karşılama kapasitesi aşağıdaki gibidir.</w:t>
            </w:r>
          </w:p>
          <w:p w:rsidR="00066F3B" w:rsidRPr="001B77A2" w:rsidRDefault="00066F3B" w:rsidP="00066F3B">
            <w:pPr>
              <w:jc w:val="both"/>
              <w:rPr>
                <w:sz w:val="28"/>
                <w:szCs w:val="28"/>
              </w:rPr>
            </w:pPr>
            <w:r w:rsidRPr="001B77A2">
              <w:rPr>
                <w:sz w:val="28"/>
                <w:szCs w:val="28"/>
              </w:rPr>
              <w:t xml:space="preserve">          </w:t>
            </w:r>
          </w:p>
          <w:p w:rsidR="00066F3B" w:rsidRPr="001B77A2" w:rsidRDefault="00066F3B" w:rsidP="00066F3B">
            <w:pPr>
              <w:jc w:val="both"/>
              <w:rPr>
                <w:sz w:val="28"/>
                <w:szCs w:val="28"/>
              </w:rPr>
            </w:pPr>
            <w:r w:rsidRPr="001B77A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Uygulama ve Araştırma</w:t>
            </w:r>
            <w:r w:rsidRPr="001B77A2">
              <w:rPr>
                <w:sz w:val="28"/>
                <w:szCs w:val="28"/>
              </w:rPr>
              <w:t xml:space="preserve"> Merkezimizde bulunan su deposu 30 ton kapasiteli olup, su kesintileri durumunda hizmette kullanılan suyu karşılama süresi en az 45 saattir.</w:t>
            </w:r>
            <w:r>
              <w:rPr>
                <w:sz w:val="28"/>
                <w:szCs w:val="28"/>
              </w:rPr>
              <w:t xml:space="preserve"> </w:t>
            </w:r>
            <w:r w:rsidRPr="001B77A2">
              <w:rPr>
                <w:sz w:val="28"/>
                <w:szCs w:val="28"/>
              </w:rPr>
              <w:t>45 saati geçen su kesintilerinde belediye ile görüşülüp deponun tekrar doldurulması sağlanacaktır.</w:t>
            </w:r>
          </w:p>
          <w:p w:rsidR="00066F3B" w:rsidRPr="001B77A2" w:rsidRDefault="00066F3B" w:rsidP="00066F3B">
            <w:pPr>
              <w:jc w:val="both"/>
              <w:rPr>
                <w:sz w:val="28"/>
                <w:szCs w:val="28"/>
              </w:rPr>
            </w:pPr>
            <w:r w:rsidRPr="001B77A2">
              <w:rPr>
                <w:sz w:val="28"/>
                <w:szCs w:val="28"/>
              </w:rPr>
              <w:t xml:space="preserve">         </w:t>
            </w:r>
          </w:p>
          <w:p w:rsidR="00066F3B" w:rsidRPr="001B77A2" w:rsidRDefault="00066F3B" w:rsidP="00066F3B">
            <w:pPr>
              <w:jc w:val="both"/>
              <w:rPr>
                <w:sz w:val="28"/>
                <w:szCs w:val="28"/>
              </w:rPr>
            </w:pPr>
            <w:r w:rsidRPr="001B77A2">
              <w:rPr>
                <w:sz w:val="28"/>
                <w:szCs w:val="28"/>
              </w:rPr>
              <w:t xml:space="preserve">          Elektrik kesintilerinde jeneratörün/güç kaynağının hizmette kullanılan enerjiyi karşılama </w:t>
            </w:r>
            <w:r>
              <w:rPr>
                <w:sz w:val="28"/>
                <w:szCs w:val="28"/>
              </w:rPr>
              <w:t>süresi en az 36</w:t>
            </w:r>
            <w:r w:rsidRPr="001B77A2">
              <w:rPr>
                <w:sz w:val="28"/>
                <w:szCs w:val="28"/>
              </w:rPr>
              <w:t xml:space="preserve"> saattir.</w:t>
            </w:r>
            <w:r>
              <w:rPr>
                <w:sz w:val="28"/>
                <w:szCs w:val="28"/>
              </w:rPr>
              <w:t xml:space="preserve"> 36</w:t>
            </w:r>
            <w:r w:rsidRPr="001B77A2">
              <w:rPr>
                <w:sz w:val="28"/>
                <w:szCs w:val="28"/>
              </w:rPr>
              <w:t xml:space="preserve"> saati geçen elektrik kesintilerin</w:t>
            </w:r>
            <w:r>
              <w:rPr>
                <w:sz w:val="28"/>
                <w:szCs w:val="28"/>
              </w:rPr>
              <w:t>de Elektrik Dağıtım Merkezi (SEP</w:t>
            </w:r>
            <w:r w:rsidRPr="001B77A2">
              <w:rPr>
                <w:sz w:val="28"/>
                <w:szCs w:val="28"/>
              </w:rPr>
              <w:t>AŞ) ile görüşülerek yardım talebinde bulunulacaktır.</w:t>
            </w: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tbl>
            <w:tblPr>
              <w:tblStyle w:val="TabloKlavuzu"/>
              <w:tblpPr w:leftFromText="141" w:rightFromText="141" w:vertAnchor="text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7"/>
            </w:tblGrid>
            <w:tr w:rsidR="00DC672A" w:rsidTr="00DC672A">
              <w:trPr>
                <w:trHeight w:val="1124"/>
              </w:trPr>
              <w:tc>
                <w:tcPr>
                  <w:tcW w:w="3587" w:type="dxa"/>
                </w:tcPr>
                <w:p w:rsidR="00DC672A" w:rsidRPr="00DF689A" w:rsidRDefault="00DC672A" w:rsidP="00DC672A">
                  <w:pPr>
                    <w:jc w:val="center"/>
                    <w:rPr>
                      <w:b/>
                    </w:rPr>
                  </w:pPr>
                </w:p>
                <w:p w:rsidR="00DC672A" w:rsidRPr="00DF689A" w:rsidRDefault="00DC672A" w:rsidP="00DC672A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Hazırlayan</w:t>
                  </w:r>
                </w:p>
                <w:p w:rsidR="00DC672A" w:rsidRPr="00DF689A" w:rsidRDefault="00DC672A" w:rsidP="00DC67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Kalite Birim Sorumlusu</w:t>
                  </w:r>
                </w:p>
                <w:p w:rsidR="00DC672A" w:rsidRPr="00DF689A" w:rsidRDefault="00DC672A" w:rsidP="00DC672A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7" w:type="dxa"/>
                </w:tcPr>
                <w:p w:rsidR="00DC672A" w:rsidRPr="00DF689A" w:rsidRDefault="00DC672A" w:rsidP="00DC672A">
                  <w:pPr>
                    <w:jc w:val="center"/>
                    <w:rPr>
                      <w:b/>
                    </w:rPr>
                  </w:pPr>
                </w:p>
                <w:p w:rsidR="00DC672A" w:rsidRPr="00DF689A" w:rsidRDefault="00DC672A" w:rsidP="00DC672A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Kontrol Eden</w:t>
                  </w:r>
                </w:p>
                <w:p w:rsidR="00DC672A" w:rsidRPr="00DF689A" w:rsidRDefault="00DC672A" w:rsidP="00DC672A">
                  <w:pPr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Kalite Yönetim Direktörü</w:t>
                  </w:r>
                </w:p>
                <w:p w:rsidR="00DC672A" w:rsidRPr="00DF689A" w:rsidRDefault="00DC672A" w:rsidP="00DC672A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7" w:type="dxa"/>
                </w:tcPr>
                <w:p w:rsidR="00DC672A" w:rsidRPr="00DF689A" w:rsidRDefault="00DC672A" w:rsidP="00DC672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DC672A" w:rsidRPr="00DF689A" w:rsidRDefault="00DC672A" w:rsidP="00DC672A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Onaylayan</w:t>
                  </w:r>
                </w:p>
                <w:p w:rsidR="00DC672A" w:rsidRPr="00DF689A" w:rsidRDefault="00DC672A" w:rsidP="00DC67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Dekan</w:t>
                  </w:r>
                </w:p>
                <w:p w:rsidR="00DC672A" w:rsidRPr="00DF689A" w:rsidRDefault="00DC672A" w:rsidP="00DC672A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DC672A" w:rsidTr="00DC672A">
              <w:trPr>
                <w:trHeight w:val="1169"/>
              </w:trPr>
              <w:tc>
                <w:tcPr>
                  <w:tcW w:w="3587" w:type="dxa"/>
                </w:tcPr>
                <w:p w:rsidR="00DC672A" w:rsidRPr="00DF689A" w:rsidRDefault="00DC672A" w:rsidP="00DC67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7" w:type="dxa"/>
                </w:tcPr>
                <w:p w:rsidR="00DC672A" w:rsidRPr="00DF689A" w:rsidRDefault="00DC672A" w:rsidP="00DC67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7" w:type="dxa"/>
                </w:tcPr>
                <w:p w:rsidR="00DC672A" w:rsidRPr="00DF689A" w:rsidRDefault="00DC672A" w:rsidP="00DC67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066F3B" w:rsidRDefault="00066F3B" w:rsidP="001A668C">
            <w:pPr>
              <w:spacing w:line="360" w:lineRule="auto"/>
              <w:ind w:right="303"/>
              <w:jc w:val="both"/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  <w:p w:rsidR="0095737F" w:rsidRP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</w:tc>
      </w:tr>
    </w:tbl>
    <w:p w:rsidR="003B1F73" w:rsidRDefault="003B1F73"/>
    <w:sectPr w:rsidR="003B1F73" w:rsidSect="005F30B9">
      <w:headerReference w:type="default" r:id="rId7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A2" w:rsidRDefault="00047AA2" w:rsidP="00DB3ECB">
      <w:r>
        <w:separator/>
      </w:r>
    </w:p>
  </w:endnote>
  <w:endnote w:type="continuationSeparator" w:id="0">
    <w:p w:rsidR="00047AA2" w:rsidRDefault="00047AA2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A2" w:rsidRDefault="00047AA2" w:rsidP="00DB3ECB">
      <w:r>
        <w:separator/>
      </w:r>
    </w:p>
  </w:footnote>
  <w:footnote w:type="continuationSeparator" w:id="0">
    <w:p w:rsidR="00047AA2" w:rsidRDefault="00047AA2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5F5A87D1" wp14:editId="2F194381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 xml:space="preserve">UYGULAMA </w:t>
          </w:r>
          <w:r w:rsidR="002C6909">
            <w:rPr>
              <w:b/>
            </w:rPr>
            <w:t xml:space="preserve">VE </w:t>
          </w:r>
          <w:r>
            <w:rPr>
              <w:b/>
            </w:rPr>
            <w:t>ARAŞTIRMA MERKEZİ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>SU VE ELEKTRİK ACİL DURUM KARŞILAMA</w:t>
          </w:r>
        </w:p>
        <w:p w:rsidR="00DB3ECB" w:rsidRPr="00066F3B" w:rsidRDefault="00066F3B" w:rsidP="00066F3B">
          <w:pPr>
            <w:jc w:val="center"/>
            <w:rPr>
              <w:b/>
            </w:rPr>
          </w:pPr>
          <w:r>
            <w:rPr>
              <w:b/>
            </w:rPr>
            <w:t>KAPASİTELERİ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DC672A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F78E3" wp14:editId="590D922D">
          <wp:simplePos x="0" y="0"/>
          <wp:positionH relativeFrom="column">
            <wp:posOffset>-337820</wp:posOffset>
          </wp:positionH>
          <wp:positionV relativeFrom="paragraph">
            <wp:posOffset>19050</wp:posOffset>
          </wp:positionV>
          <wp:extent cx="6477000" cy="73660"/>
          <wp:effectExtent l="0" t="0" r="0" b="254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346A1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46A1B">
            <w:rPr>
              <w:rStyle w:val="SayfaNumaras"/>
              <w:noProof/>
              <w:sz w:val="18"/>
              <w:szCs w:val="18"/>
            </w:rPr>
            <w:t>DTY11.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431BE2">
            <w:rPr>
              <w:rStyle w:val="SayfaNumaras"/>
              <w:b/>
              <w:bCs/>
              <w:noProof/>
              <w:sz w:val="18"/>
              <w:szCs w:val="18"/>
            </w:rPr>
            <w:t>0</w:t>
          </w:r>
          <w:r w:rsidR="00431BE2">
            <w:rPr>
              <w:rStyle w:val="SayfaNumaras"/>
              <w:noProof/>
              <w:sz w:val="18"/>
              <w:szCs w:val="18"/>
            </w:rPr>
            <w:t>2.12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31BE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31BE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47AA2"/>
    <w:rsid w:val="00066F3B"/>
    <w:rsid w:val="000E7B06"/>
    <w:rsid w:val="000F4555"/>
    <w:rsid w:val="000F64DE"/>
    <w:rsid w:val="001A0F61"/>
    <w:rsid w:val="001A668C"/>
    <w:rsid w:val="001E4132"/>
    <w:rsid w:val="002A5D63"/>
    <w:rsid w:val="002B43E9"/>
    <w:rsid w:val="002C6909"/>
    <w:rsid w:val="00346A1B"/>
    <w:rsid w:val="0036751A"/>
    <w:rsid w:val="003720EA"/>
    <w:rsid w:val="003B1F73"/>
    <w:rsid w:val="003C3713"/>
    <w:rsid w:val="00411CED"/>
    <w:rsid w:val="00431BE2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C66C4"/>
    <w:rsid w:val="005F30B9"/>
    <w:rsid w:val="00690AEC"/>
    <w:rsid w:val="006A7E33"/>
    <w:rsid w:val="006E797E"/>
    <w:rsid w:val="00735EEF"/>
    <w:rsid w:val="0074397B"/>
    <w:rsid w:val="00756E10"/>
    <w:rsid w:val="0078113F"/>
    <w:rsid w:val="007900F6"/>
    <w:rsid w:val="00861719"/>
    <w:rsid w:val="00896D4C"/>
    <w:rsid w:val="008A272E"/>
    <w:rsid w:val="008A39A4"/>
    <w:rsid w:val="008A4457"/>
    <w:rsid w:val="008A5F10"/>
    <w:rsid w:val="008D04B9"/>
    <w:rsid w:val="0095737F"/>
    <w:rsid w:val="00976F3A"/>
    <w:rsid w:val="009E50B1"/>
    <w:rsid w:val="00A74294"/>
    <w:rsid w:val="00B00FA4"/>
    <w:rsid w:val="00B50BAC"/>
    <w:rsid w:val="00B661A7"/>
    <w:rsid w:val="00BB2911"/>
    <w:rsid w:val="00C22440"/>
    <w:rsid w:val="00C359DA"/>
    <w:rsid w:val="00C365B9"/>
    <w:rsid w:val="00CB0DD8"/>
    <w:rsid w:val="00CD4DF7"/>
    <w:rsid w:val="00CD6C37"/>
    <w:rsid w:val="00D84976"/>
    <w:rsid w:val="00DB2CC8"/>
    <w:rsid w:val="00DB3ECB"/>
    <w:rsid w:val="00DC672A"/>
    <w:rsid w:val="00DD7CAA"/>
    <w:rsid w:val="00DF689A"/>
    <w:rsid w:val="00E54107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8</cp:revision>
  <cp:lastPrinted>2021-03-30T12:57:00Z</cp:lastPrinted>
  <dcterms:created xsi:type="dcterms:W3CDTF">2019-11-18T11:28:00Z</dcterms:created>
  <dcterms:modified xsi:type="dcterms:W3CDTF">2021-03-30T12:57:00Z</dcterms:modified>
</cp:coreProperties>
</file>