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6C58A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C58A9" w:rsidRPr="006C58A9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6C58A9">
              <w:rPr>
                <w:rFonts w:asciiTheme="majorBidi" w:hAnsiTheme="majorBidi" w:cstheme="majorBidi"/>
              </w:rPr>
              <w:t>Diş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Hekimliği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6C58A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C58A9" w:rsidRPr="006C58A9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6C58A9">
              <w:rPr>
                <w:rFonts w:asciiTheme="majorBidi" w:hAnsiTheme="majorBidi" w:cstheme="majorBidi"/>
              </w:rPr>
              <w:t>Döner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Sermaye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Bilgi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İşlem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ve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Tahakkuk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İşleri</w:t>
            </w:r>
            <w:proofErr w:type="spellEnd"/>
          </w:p>
        </w:tc>
      </w:tr>
      <w:tr w:rsidR="006C58A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C58A9" w:rsidRPr="006C58A9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6C58A9">
              <w:rPr>
                <w:rFonts w:asciiTheme="majorBidi" w:hAnsiTheme="majorBidi" w:cstheme="majorBidi"/>
              </w:rPr>
              <w:t>Başhekim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C58A9">
              <w:rPr>
                <w:rFonts w:asciiTheme="majorBidi" w:hAnsiTheme="majorBidi" w:cstheme="majorBidi"/>
              </w:rPr>
              <w:t>Başhekim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Yrd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C58A9">
              <w:rPr>
                <w:rFonts w:asciiTheme="majorBidi" w:hAnsiTheme="majorBidi" w:cstheme="majorBidi"/>
              </w:rPr>
              <w:t>Hastane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Müdürü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C58A9">
              <w:rPr>
                <w:rFonts w:asciiTheme="majorBidi" w:hAnsiTheme="majorBidi" w:cstheme="majorBidi"/>
              </w:rPr>
              <w:t>Müdür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Yrd</w:t>
            </w:r>
            <w:proofErr w:type="spellEnd"/>
            <w:r w:rsidRPr="006C58A9">
              <w:rPr>
                <w:rFonts w:asciiTheme="majorBidi" w:hAnsiTheme="majorBidi" w:cstheme="majorBidi"/>
              </w:rPr>
              <w:t>.</w:t>
            </w:r>
          </w:p>
        </w:tc>
      </w:tr>
      <w:tr w:rsidR="006C58A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C58A9" w:rsidRPr="006C58A9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6C58A9">
              <w:rPr>
                <w:rFonts w:asciiTheme="majorBidi" w:hAnsiTheme="majorBidi" w:cstheme="majorBidi"/>
              </w:rPr>
              <w:t>Diğer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yetkin</w:t>
            </w:r>
            <w:proofErr w:type="spellEnd"/>
            <w:r w:rsidRPr="006C58A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58A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  <w:tr w:rsidR="006C58A9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6C58A9" w:rsidRPr="00D9025A" w:rsidRDefault="006C58A9" w:rsidP="006C58A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C58A9" w:rsidRPr="00160E31" w:rsidRDefault="008841F0" w:rsidP="008841F0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Döner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Sermaye</w:t>
            </w:r>
            <w:proofErr w:type="spellEnd"/>
            <w:r>
              <w:rPr>
                <w:rFonts w:asciiTheme="majorBidi" w:hAnsiTheme="majorBidi" w:cstheme="majorBidi"/>
              </w:rPr>
              <w:t xml:space="preserve"> birimi</w:t>
            </w:r>
            <w:bookmarkStart w:id="0" w:name="_GoBack"/>
            <w:bookmarkEnd w:id="0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6C58A9" w:rsidRDefault="006C58A9">
            <w:pPr>
              <w:rPr>
                <w:sz w:val="22"/>
                <w:szCs w:val="22"/>
              </w:rPr>
            </w:pPr>
            <w:r w:rsidRPr="006C58A9">
              <w:rPr>
                <w:sz w:val="22"/>
                <w:szCs w:val="22"/>
              </w:rPr>
              <w:t>Aşağıda tanımlanan, sorumluluğunda bulunan görevleri eksiksiz yerine getirerek Diş Hekimliği Fakültesi Hastanesi’nin hizmet kalitesini artırmak.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SGK </w:t>
            </w:r>
            <w:proofErr w:type="spellStart"/>
            <w:r>
              <w:t>dışında</w:t>
            </w:r>
            <w:proofErr w:type="spellEnd"/>
            <w:r>
              <w:t xml:space="preserve"> Manuel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Fatura</w:t>
            </w:r>
            <w:proofErr w:type="spellEnd"/>
            <w:r>
              <w:t xml:space="preserve"> </w:t>
            </w:r>
            <w:proofErr w:type="spellStart"/>
            <w:r>
              <w:t>Ettiğimiz</w:t>
            </w:r>
            <w:proofErr w:type="spellEnd"/>
            <w:r>
              <w:t xml:space="preserve"> </w:t>
            </w:r>
            <w:proofErr w:type="spellStart"/>
            <w:r>
              <w:t>Sevkli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Hasta Kabul </w:t>
            </w:r>
            <w:proofErr w:type="spellStart"/>
            <w:r>
              <w:t>Kayıtlarının</w:t>
            </w:r>
            <w:proofErr w:type="spellEnd"/>
            <w:r>
              <w:t xml:space="preserve"> </w:t>
            </w:r>
            <w:proofErr w:type="spellStart"/>
            <w:r>
              <w:t>Açılarak</w:t>
            </w:r>
            <w:proofErr w:type="spellEnd"/>
            <w:r>
              <w:t xml:space="preserve"> </w:t>
            </w:r>
            <w:proofErr w:type="spellStart"/>
            <w:r>
              <w:t>Sevklerinin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S.G.K. </w:t>
            </w:r>
            <w:proofErr w:type="spellStart"/>
            <w:r>
              <w:t>Medula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Gönderimi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- Hasta </w:t>
            </w:r>
            <w:proofErr w:type="spellStart"/>
            <w:r>
              <w:t>Protokollerini</w:t>
            </w:r>
            <w:proofErr w:type="spellEnd"/>
            <w:r>
              <w:t xml:space="preserve"> Belli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Girişine</w:t>
            </w:r>
            <w:proofErr w:type="spellEnd"/>
            <w:r>
              <w:t xml:space="preserve"> </w:t>
            </w:r>
            <w:proofErr w:type="spellStart"/>
            <w:r>
              <w:t>Kapatarak</w:t>
            </w:r>
            <w:proofErr w:type="spellEnd"/>
            <w:r>
              <w:t xml:space="preserve"> </w:t>
            </w:r>
            <w:proofErr w:type="spellStart"/>
            <w:r>
              <w:t>Medula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Gönderimi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,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Gitmeyen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Olan </w:t>
            </w:r>
            <w:proofErr w:type="spellStart"/>
            <w:r>
              <w:t>Kayıtların</w:t>
            </w:r>
            <w:proofErr w:type="spellEnd"/>
            <w:r>
              <w:t xml:space="preserve"> </w:t>
            </w:r>
            <w:proofErr w:type="spellStart"/>
            <w:r>
              <w:t>Eksiklerini</w:t>
            </w:r>
            <w:proofErr w:type="spellEnd"/>
            <w:r>
              <w:t xml:space="preserve"> </w:t>
            </w:r>
            <w:proofErr w:type="spellStart"/>
            <w:r>
              <w:t>Gidererek</w:t>
            </w:r>
            <w:proofErr w:type="spellEnd"/>
            <w:r>
              <w:t xml:space="preserve"> </w:t>
            </w: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Getirilmesi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Fatura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SGK </w:t>
            </w:r>
            <w:proofErr w:type="spellStart"/>
            <w:r>
              <w:t>kriterlerine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faturalandırılması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 (</w:t>
            </w:r>
            <w:proofErr w:type="spellStart"/>
            <w:r>
              <w:t>Maaş</w:t>
            </w:r>
            <w:proofErr w:type="spellEnd"/>
            <w:r>
              <w:t xml:space="preserve"> İle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Ödenen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) </w:t>
            </w:r>
            <w:proofErr w:type="spellStart"/>
            <w:r>
              <w:t>işlemleri</w:t>
            </w:r>
            <w:proofErr w:type="spellEnd"/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Her </w:t>
            </w:r>
            <w:proofErr w:type="spellStart"/>
            <w:r>
              <w:t>ayın</w:t>
            </w:r>
            <w:proofErr w:type="spellEnd"/>
            <w:r>
              <w:t xml:space="preserve"> en </w:t>
            </w:r>
            <w:proofErr w:type="spellStart"/>
            <w:r>
              <w:t>geç</w:t>
            </w:r>
            <w:proofErr w:type="spellEnd"/>
            <w:r>
              <w:t xml:space="preserve"> 15 </w:t>
            </w:r>
            <w:proofErr w:type="spellStart"/>
            <w:r>
              <w:t>inde</w:t>
            </w:r>
            <w:proofErr w:type="spellEnd"/>
            <w:r>
              <w:t xml:space="preserve"> </w:t>
            </w:r>
            <w:proofErr w:type="spellStart"/>
            <w:r>
              <w:t>ödemesi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sonlandırılması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Döner</w:t>
            </w:r>
            <w:proofErr w:type="spellEnd"/>
            <w:r>
              <w:t xml:space="preserve"> </w:t>
            </w:r>
            <w:proofErr w:type="spellStart"/>
            <w:r>
              <w:t>Sermaye</w:t>
            </w:r>
            <w:proofErr w:type="spellEnd"/>
            <w:r>
              <w:t xml:space="preserve"> (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Ödeme</w:t>
            </w:r>
            <w:proofErr w:type="spellEnd"/>
            <w:r>
              <w:t xml:space="preserve">) </w:t>
            </w:r>
            <w:proofErr w:type="spellStart"/>
            <w:r>
              <w:t>işlemleri</w:t>
            </w:r>
            <w:proofErr w:type="spellEnd"/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Her </w:t>
            </w:r>
            <w:proofErr w:type="spellStart"/>
            <w:r>
              <w:t>ayın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o </w:t>
            </w:r>
            <w:proofErr w:type="spellStart"/>
            <w:r>
              <w:t>aya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performans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bordro</w:t>
            </w:r>
            <w:proofErr w:type="spellEnd"/>
            <w:r>
              <w:t xml:space="preserve"> da </w:t>
            </w:r>
            <w:proofErr w:type="spellStart"/>
            <w:r>
              <w:t>oluşturularak</w:t>
            </w:r>
            <w:proofErr w:type="spellEnd"/>
            <w:r>
              <w:t xml:space="preserve"> YÖK </w:t>
            </w:r>
            <w:proofErr w:type="spellStart"/>
            <w:r>
              <w:t>Dağıtım</w:t>
            </w:r>
            <w:proofErr w:type="spellEnd"/>
            <w:r>
              <w:t xml:space="preserve"> </w:t>
            </w:r>
            <w:proofErr w:type="spellStart"/>
            <w:r>
              <w:t>İlkelerine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hesaplama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ödemenin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Yazışmalar</w:t>
            </w:r>
            <w:proofErr w:type="spellEnd"/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den </w:t>
            </w:r>
            <w:proofErr w:type="spellStart"/>
            <w:r>
              <w:t>birimimize</w:t>
            </w:r>
            <w:proofErr w:type="spellEnd"/>
            <w:r>
              <w:t xml:space="preserve"> </w:t>
            </w:r>
            <w:proofErr w:type="spellStart"/>
            <w:r>
              <w:t>havale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yaparak</w:t>
            </w:r>
            <w:proofErr w:type="spellEnd"/>
            <w:r>
              <w:t xml:space="preserve"> ,</w:t>
            </w:r>
            <w:proofErr w:type="spellStart"/>
            <w:r>
              <w:t>cevap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yazılacakların</w:t>
            </w:r>
            <w:proofErr w:type="spellEnd"/>
            <w:r>
              <w:t xml:space="preserve"> </w:t>
            </w:r>
            <w:proofErr w:type="spellStart"/>
            <w:r>
              <w:t>cevaplandırılması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 xml:space="preserve">,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görecekler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an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sonlandırılır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Birimimizden</w:t>
            </w:r>
            <w:proofErr w:type="spellEnd"/>
            <w:r>
              <w:t xml:space="preserve">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istenen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vs.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.</w:t>
            </w:r>
          </w:p>
          <w:p w:rsidR="006C58A9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Yasalar</w:t>
            </w:r>
            <w:proofErr w:type="spellEnd"/>
            <w:r>
              <w:t xml:space="preserve">, </w:t>
            </w:r>
            <w:proofErr w:type="spellStart"/>
            <w:r>
              <w:t>Yönetmelikler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Tebliğlerin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  <w:p w:rsidR="00A703C2" w:rsidRPr="00DE7ECB" w:rsidRDefault="006C58A9" w:rsidP="006C58A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değişen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, hasta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>
              <w:t>uygulamalar</w:t>
            </w:r>
            <w:proofErr w:type="spellEnd"/>
            <w:r>
              <w:t xml:space="preserve">,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güvence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kanunlar</w:t>
            </w:r>
            <w:proofErr w:type="spellEnd"/>
            <w:r>
              <w:t xml:space="preserve">,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zinciri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değişimler</w:t>
            </w:r>
            <w:proofErr w:type="spellEnd"/>
            <w:r>
              <w:t xml:space="preserve">,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payı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tebliğler</w:t>
            </w:r>
            <w:proofErr w:type="spellEnd"/>
            <w:r>
              <w:t xml:space="preserve"> vs .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günübirlik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gerek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programında</w:t>
            </w:r>
            <w:proofErr w:type="spellEnd"/>
            <w:r>
              <w:t xml:space="preserve"> </w:t>
            </w:r>
            <w:proofErr w:type="spellStart"/>
            <w:r>
              <w:t>değişiklere</w:t>
            </w:r>
            <w:proofErr w:type="spellEnd"/>
            <w:r>
              <w:t xml:space="preserve"> </w:t>
            </w:r>
            <w:proofErr w:type="spellStart"/>
            <w:r>
              <w:t>gidilmesi</w:t>
            </w:r>
            <w:proofErr w:type="spellEnd"/>
            <w:r>
              <w:t xml:space="preserve"> </w:t>
            </w:r>
            <w:proofErr w:type="spellStart"/>
            <w:r>
              <w:t>gerekse</w:t>
            </w:r>
            <w:proofErr w:type="spellEnd"/>
            <w:r>
              <w:t xml:space="preserve"> </w:t>
            </w:r>
            <w:proofErr w:type="spellStart"/>
            <w:r>
              <w:t>sekreterlere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yönde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verilerek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mağduriyetinin</w:t>
            </w:r>
            <w:proofErr w:type="spellEnd"/>
            <w:r>
              <w:t xml:space="preserve"> </w:t>
            </w:r>
            <w:proofErr w:type="spellStart"/>
            <w:r>
              <w:t>önüne</w:t>
            </w:r>
            <w:proofErr w:type="spellEnd"/>
            <w:r>
              <w:t xml:space="preserve"> </w:t>
            </w:r>
            <w:proofErr w:type="spellStart"/>
            <w:r>
              <w:t>geçilmesinin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8841F0" w:rsidP="00884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right="218"/>
            </w:pPr>
            <w:r w:rsidRPr="00627331">
              <w:rPr>
                <w:lang w:val="tr-TR"/>
              </w:rPr>
              <w:t>657 Sayılı Devlet Memurları Kanun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Default="007F6432">
      <w:pPr>
        <w:rPr>
          <w:sz w:val="12"/>
          <w:szCs w:val="12"/>
        </w:rPr>
      </w:pPr>
    </w:p>
    <w:p w:rsidR="008841F0" w:rsidRDefault="008841F0">
      <w:pPr>
        <w:rPr>
          <w:sz w:val="12"/>
          <w:szCs w:val="12"/>
        </w:rPr>
      </w:pPr>
    </w:p>
    <w:p w:rsidR="008841F0" w:rsidRDefault="008841F0">
      <w:pPr>
        <w:rPr>
          <w:sz w:val="12"/>
          <w:szCs w:val="12"/>
        </w:rPr>
      </w:pPr>
    </w:p>
    <w:p w:rsidR="008841F0" w:rsidRDefault="008841F0">
      <w:pPr>
        <w:rPr>
          <w:sz w:val="12"/>
          <w:szCs w:val="12"/>
        </w:rPr>
      </w:pPr>
    </w:p>
    <w:p w:rsidR="008841F0" w:rsidRDefault="008841F0">
      <w:pPr>
        <w:rPr>
          <w:sz w:val="12"/>
          <w:szCs w:val="12"/>
        </w:rPr>
      </w:pPr>
    </w:p>
    <w:p w:rsidR="008841F0" w:rsidRPr="00A703C2" w:rsidRDefault="008841F0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841F0" w:rsidRPr="00DE7ECB" w:rsidRDefault="008841F0" w:rsidP="008841F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627331">
              <w:rPr>
                <w:lang w:val="tr-TR"/>
              </w:rPr>
              <w:t>657 Sayılı Devlet Memurları Kanunu’nda ve 2547 Sayılı Yüksek Öğretim Kanunu’nda belirtilen genel niteliklere sahip</w:t>
            </w:r>
            <w:r w:rsidRPr="00627331">
              <w:rPr>
                <w:spacing w:val="-14"/>
                <w:lang w:val="tr-TR"/>
              </w:rPr>
              <w:t xml:space="preserve"> </w:t>
            </w:r>
            <w:r w:rsidRPr="00627331">
              <w:rPr>
                <w:lang w:val="tr-TR"/>
              </w:rPr>
              <w:t>olmak</w:t>
            </w:r>
          </w:p>
          <w:p w:rsidR="00A703C2" w:rsidRPr="00DE7ECB" w:rsidRDefault="00A703C2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841F0" w:rsidRDefault="008841F0" w:rsidP="008841F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8841F0" w:rsidRDefault="008841F0" w:rsidP="008841F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verilere</w:t>
            </w:r>
            <w:proofErr w:type="spellEnd"/>
            <w:r>
              <w:t xml:space="preserve"> hakim </w:t>
            </w:r>
            <w:proofErr w:type="spellStart"/>
            <w:r>
              <w:t>olma</w:t>
            </w:r>
            <w:proofErr w:type="spellEnd"/>
          </w:p>
          <w:p w:rsidR="008841F0" w:rsidRDefault="008841F0" w:rsidP="008841F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A703C2" w:rsidRPr="00DE7ECB" w:rsidRDefault="00A703C2" w:rsidP="008841F0">
            <w:pPr>
              <w:pStyle w:val="TableParagraph"/>
              <w:tabs>
                <w:tab w:val="left" w:pos="230"/>
              </w:tabs>
              <w:ind w:left="447" w:right="218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56" w:rsidRDefault="00F66456" w:rsidP="00DB3ECB">
      <w:r>
        <w:separator/>
      </w:r>
    </w:p>
  </w:endnote>
  <w:endnote w:type="continuationSeparator" w:id="0">
    <w:p w:rsidR="00F66456" w:rsidRDefault="00F66456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56" w:rsidRDefault="00F66456" w:rsidP="00DB3ECB">
      <w:r>
        <w:separator/>
      </w:r>
    </w:p>
  </w:footnote>
  <w:footnote w:type="continuationSeparator" w:id="0">
    <w:p w:rsidR="00F66456" w:rsidRDefault="00F66456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160E31" w:rsidRDefault="006C58A9" w:rsidP="006C58A9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6C58A9">
            <w:rPr>
              <w:b/>
              <w:w w:val="105"/>
              <w:sz w:val="24"/>
              <w:szCs w:val="24"/>
              <w:lang w:val="tr-TR"/>
            </w:rPr>
            <w:t xml:space="preserve">DÖNER SERMAYE BİLGİ İŞLEM </w:t>
          </w:r>
          <w:r>
            <w:rPr>
              <w:b/>
              <w:w w:val="105"/>
              <w:sz w:val="24"/>
              <w:szCs w:val="24"/>
              <w:lang w:val="tr-TR"/>
            </w:rPr>
            <w:t>ve</w:t>
          </w:r>
          <w:r w:rsidRPr="006C58A9">
            <w:rPr>
              <w:b/>
              <w:w w:val="105"/>
              <w:sz w:val="24"/>
              <w:szCs w:val="24"/>
              <w:lang w:val="tr-TR"/>
            </w:rPr>
            <w:t xml:space="preserve"> TAHAKKUK PERSONELİ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00.DHF.GT.14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841F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841F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8536F"/>
    <w:multiLevelType w:val="hybridMultilevel"/>
    <w:tmpl w:val="318C4FA4"/>
    <w:lvl w:ilvl="0" w:tplc="041F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>
    <w:nsid w:val="6F364919"/>
    <w:multiLevelType w:val="hybridMultilevel"/>
    <w:tmpl w:val="29CCCEC8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86100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C58A9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41F0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C033F1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66456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2014-11-10T08:31:00Z</cp:lastPrinted>
  <dcterms:created xsi:type="dcterms:W3CDTF">2019-11-27T12:18:00Z</dcterms:created>
  <dcterms:modified xsi:type="dcterms:W3CDTF">2019-11-28T08:56:00Z</dcterms:modified>
</cp:coreProperties>
</file>